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spacing w:line="240" w:lineRule="auto"/>
        <w:ind w:left="0" w:right="581" w:firstLine="0"/>
        <w:rPr>
          <w:sz w:val="20"/>
          <w:szCs w:val="20"/>
        </w:rPr>
      </w:pPr>
      <w:r w:rsidDel="00000000" w:rsidR="00000000" w:rsidRPr="00000000">
        <w:rPr>
          <w:rtl w:val="0"/>
        </w:rPr>
      </w:r>
    </w:p>
    <w:p w:rsidR="00000000" w:rsidDel="00000000" w:rsidP="00000000" w:rsidRDefault="00000000" w:rsidRPr="00000000" w14:paraId="00000002">
      <w:pPr>
        <w:pageBreakBefore w:val="0"/>
        <w:widowControl w:val="0"/>
        <w:spacing w:line="240" w:lineRule="auto"/>
        <w:ind w:left="0" w:right="581" w:firstLine="0"/>
        <w:rPr>
          <w:sz w:val="20"/>
          <w:szCs w:val="20"/>
        </w:rPr>
      </w:pPr>
      <w:r w:rsidDel="00000000" w:rsidR="00000000" w:rsidRPr="00000000">
        <w:rPr>
          <w:rtl w:val="0"/>
        </w:rPr>
      </w:r>
    </w:p>
    <w:p w:rsidR="00000000" w:rsidDel="00000000" w:rsidP="00000000" w:rsidRDefault="00000000" w:rsidRPr="00000000" w14:paraId="00000003">
      <w:pPr>
        <w:pageBreakBefore w:val="0"/>
        <w:widowControl w:val="0"/>
        <w:spacing w:line="240" w:lineRule="auto"/>
        <w:ind w:left="566" w:right="581" w:firstLine="0"/>
        <w:rPr>
          <w:sz w:val="20"/>
          <w:szCs w:val="20"/>
        </w:rPr>
      </w:pPr>
      <w:r w:rsidDel="00000000" w:rsidR="00000000" w:rsidRPr="00000000">
        <w:rPr>
          <w:sz w:val="20"/>
          <w:szCs w:val="20"/>
        </w:rPr>
        <mc:AlternateContent>
          <mc:Choice Requires="wpg">
            <w:drawing>
              <wp:inline distB="114300" distT="114300" distL="114300" distR="114300">
                <wp:extent cx="6821414" cy="456028"/>
                <wp:effectExtent b="0" l="0" r="0" t="0"/>
                <wp:docPr id="2" name=""/>
                <a:graphic>
                  <a:graphicData uri="http://schemas.microsoft.com/office/word/2010/wordprocessingGroup">
                    <wpg:wgp>
                      <wpg:cNvGrpSpPr/>
                      <wpg:grpSpPr>
                        <a:xfrm>
                          <a:off x="1935293" y="3560925"/>
                          <a:ext cx="6821414" cy="456028"/>
                          <a:chOff x="1935293" y="3560925"/>
                          <a:chExt cx="6821413" cy="438150"/>
                        </a:xfrm>
                      </wpg:grpSpPr>
                      <wpg:grpSp>
                        <wpg:cNvGrpSpPr/>
                        <wpg:grpSpPr>
                          <a:xfrm>
                            <a:off x="1935293" y="3560925"/>
                            <a:ext cx="6821413" cy="438150"/>
                            <a:chOff x="330000" y="3096425"/>
                            <a:chExt cx="9168430" cy="422700"/>
                          </a:xfrm>
                        </wpg:grpSpPr>
                        <wps:wsp>
                          <wps:cNvSpPr/>
                          <wps:cNvPr id="3" name="Shape 3"/>
                          <wps:spPr>
                            <a:xfrm>
                              <a:off x="330000" y="3096425"/>
                              <a:ext cx="9168425" cy="42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9075730" y="3096425"/>
                              <a:ext cx="422700" cy="422700"/>
                            </a:xfrm>
                            <a:prstGeom prst="ellipse">
                              <a:avLst/>
                            </a:prstGeom>
                            <a:solidFill>
                              <a:srgbClr val="F4A1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30000" y="3096425"/>
                              <a:ext cx="422700" cy="422700"/>
                            </a:xfrm>
                            <a:prstGeom prst="ellipse">
                              <a:avLst/>
                            </a:prstGeom>
                            <a:solidFill>
                              <a:srgbClr val="F4A1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0277" y="3096425"/>
                              <a:ext cx="8745000" cy="422700"/>
                            </a:xfrm>
                            <a:prstGeom prst="rect">
                              <a:avLst/>
                            </a:prstGeom>
                            <a:solidFill>
                              <a:srgbClr val="F4A11E"/>
                            </a:solidFill>
                            <a:ln>
                              <a:noFill/>
                            </a:ln>
                          </wps:spPr>
                          <wps:txbx>
                            <w:txbxContent>
                              <w:p w:rsidR="00000000" w:rsidDel="00000000" w:rsidP="00000000" w:rsidRDefault="00000000" w:rsidRPr="00000000">
                                <w:pPr>
                                  <w:spacing w:after="0" w:before="0" w:line="240"/>
                                  <w:ind w:left="141.00000381469727" w:right="0" w:firstLine="282.00000762939453"/>
                                  <w:jc w:val="left"/>
                                  <w:textDirection w:val="btLr"/>
                                </w:pPr>
                                <w:r w:rsidDel="00000000" w:rsidR="00000000" w:rsidRPr="00000000">
                                  <w:rPr>
                                    <w:rFonts w:ascii="Nunito ExtraBold" w:cs="Nunito ExtraBold" w:eastAsia="Nunito ExtraBold" w:hAnsi="Nunito ExtraBold"/>
                                    <w:b w:val="0"/>
                                    <w:i w:val="0"/>
                                    <w:smallCaps w:val="0"/>
                                    <w:strike w:val="0"/>
                                    <w:color w:val="ffffff"/>
                                    <w:sz w:val="32"/>
                                    <w:vertAlign w:val="baseline"/>
                                  </w:rPr>
                                  <w:t xml:space="preserve">Register of potential conflicts of interest and personal interests</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821414" cy="456028"/>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821414" cy="45602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05">
      <w:pPr>
        <w:pageBreakBefore w:val="0"/>
        <w:widowControl w:val="0"/>
        <w:spacing w:line="240" w:lineRule="auto"/>
        <w:ind w:left="566" w:right="581" w:firstLine="0"/>
        <w:rPr>
          <w:sz w:val="20"/>
          <w:szCs w:val="20"/>
        </w:rPr>
      </w:pPr>
      <w:r w:rsidDel="00000000" w:rsidR="00000000" w:rsidRPr="00000000">
        <w:rPr>
          <w:rtl w:val="0"/>
        </w:rPr>
      </w:r>
    </w:p>
    <w:tbl>
      <w:tblPr>
        <w:tblStyle w:val="Table1"/>
        <w:tblW w:w="10680.0" w:type="dxa"/>
        <w:jc w:val="center"/>
        <w:tblLayout w:type="fixed"/>
        <w:tblLook w:val="0600"/>
      </w:tblPr>
      <w:tblGrid>
        <w:gridCol w:w="10680"/>
        <w:tblGridChange w:id="0">
          <w:tblGrid>
            <w:gridCol w:w="10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6">
            <w:pPr>
              <w:pageBreakBefore w:val="0"/>
              <w:widowControl w:val="0"/>
              <w:spacing w:line="240" w:lineRule="auto"/>
              <w:ind w:left="566" w:right="581" w:firstLine="0"/>
              <w:rPr>
                <w:b w:val="1"/>
                <w:color w:val="323439"/>
                <w:sz w:val="20"/>
                <w:szCs w:val="20"/>
              </w:rPr>
            </w:pPr>
            <w:r w:rsidDel="00000000" w:rsidR="00000000" w:rsidRPr="00000000">
              <w:rPr>
                <w:rFonts w:ascii="Nunito ExtraBold" w:cs="Nunito ExtraBold" w:eastAsia="Nunito ExtraBold" w:hAnsi="Nunito ExtraBold"/>
                <w:color w:val="d10074"/>
                <w:sz w:val="24"/>
                <w:szCs w:val="24"/>
                <w:rtl w:val="0"/>
              </w:rPr>
              <w:t xml:space="preserve">Introduction</w:t>
            </w:r>
            <w:r w:rsidDel="00000000" w:rsidR="00000000" w:rsidRPr="00000000">
              <w:rPr>
                <w:rtl w:val="0"/>
              </w:rPr>
            </w:r>
          </w:p>
          <w:p w:rsidR="00000000" w:rsidDel="00000000" w:rsidP="00000000" w:rsidRDefault="00000000" w:rsidRPr="00000000" w14:paraId="00000007">
            <w:pPr>
              <w:pageBreakBefore w:val="0"/>
              <w:widowControl w:val="0"/>
              <w:spacing w:line="240" w:lineRule="auto"/>
              <w:ind w:left="566" w:right="581" w:firstLine="0"/>
              <w:rPr>
                <w:b w:val="1"/>
                <w:color w:val="323439"/>
                <w:sz w:val="20"/>
                <w:szCs w:val="20"/>
              </w:rPr>
            </w:pPr>
            <w:r w:rsidDel="00000000" w:rsidR="00000000" w:rsidRPr="00000000">
              <w:rPr>
                <w:rtl w:val="0"/>
              </w:rPr>
            </w:r>
          </w:p>
          <w:p w:rsidR="00000000" w:rsidDel="00000000" w:rsidP="00000000" w:rsidRDefault="00000000" w:rsidRPr="00000000" w14:paraId="00000008">
            <w:pPr>
              <w:pageBreakBefore w:val="0"/>
              <w:widowControl w:val="0"/>
              <w:spacing w:line="240" w:lineRule="auto"/>
              <w:ind w:left="566" w:right="581" w:firstLine="0"/>
              <w:rPr>
                <w:color w:val="323439"/>
                <w:sz w:val="20"/>
                <w:szCs w:val="20"/>
              </w:rPr>
            </w:pPr>
            <w:r w:rsidDel="00000000" w:rsidR="00000000" w:rsidRPr="00000000">
              <w:rPr>
                <w:color w:val="323439"/>
                <w:sz w:val="20"/>
                <w:szCs w:val="20"/>
                <w:rtl w:val="0"/>
              </w:rPr>
              <w:t xml:space="preserve">A Register of potential conflicts of interest and personal interest relating to the delivery, assessment, verification and award of CMI qualifications</w:t>
            </w:r>
          </w:p>
          <w:p w:rsidR="00000000" w:rsidDel="00000000" w:rsidP="00000000" w:rsidRDefault="00000000" w:rsidRPr="00000000" w14:paraId="00000009">
            <w:pPr>
              <w:pageBreakBefore w:val="0"/>
              <w:widowControl w:val="0"/>
              <w:spacing w:line="240" w:lineRule="auto"/>
              <w:ind w:left="566" w:right="581" w:firstLine="0"/>
              <w:rPr>
                <w:color w:val="323439"/>
                <w:sz w:val="20"/>
                <w:szCs w:val="20"/>
              </w:rPr>
            </w:pPr>
            <w:r w:rsidDel="00000000" w:rsidR="00000000" w:rsidRPr="00000000">
              <w:rPr>
                <w:color w:val="323439"/>
                <w:sz w:val="20"/>
                <w:szCs w:val="20"/>
                <w:rtl w:val="0"/>
              </w:rPr>
              <w:t xml:space="preserve">A personal interest is a conflict of interest that relates to a particular individual. All conflicts of interest that fall under part (b) of Ofqual’s definition are personal interests, as are any perceived conflicts of interest under part (c) that relate to individuals, rather than to the awarding organisation itself. A personal interest can be financial or non-financial in nature. In the situations covered by Conditions A4.6-A4.7, A8.3, G4.6 and I1.2, the relevant questions to ask are:</w:t>
            </w:r>
          </w:p>
          <w:p w:rsidR="00000000" w:rsidDel="00000000" w:rsidP="00000000" w:rsidRDefault="00000000" w:rsidRPr="00000000" w14:paraId="0000000A">
            <w:pPr>
              <w:pageBreakBefore w:val="0"/>
              <w:widowControl w:val="0"/>
              <w:spacing w:line="240" w:lineRule="auto"/>
              <w:ind w:left="566" w:right="581" w:firstLine="0"/>
              <w:rPr>
                <w:color w:val="323439"/>
                <w:sz w:val="20"/>
                <w:szCs w:val="20"/>
              </w:rPr>
            </w:pPr>
            <w:r w:rsidDel="00000000" w:rsidR="00000000" w:rsidRPr="00000000">
              <w:rPr>
                <w:color w:val="323439"/>
                <w:sz w:val="20"/>
                <w:szCs w:val="20"/>
                <w:rtl w:val="0"/>
              </w:rPr>
              <w:t xml:space="preserve">- Does the individual carrying out the assessment, investigation or appeal have any reason or incentive to make anything other than a decision in line with the relevant Conditions?</w:t>
            </w:r>
          </w:p>
          <w:p w:rsidR="00000000" w:rsidDel="00000000" w:rsidP="00000000" w:rsidRDefault="00000000" w:rsidRPr="00000000" w14:paraId="0000000B">
            <w:pPr>
              <w:pageBreakBefore w:val="0"/>
              <w:widowControl w:val="0"/>
              <w:spacing w:line="240" w:lineRule="auto"/>
              <w:ind w:left="566" w:right="581" w:firstLine="0"/>
              <w:rPr>
                <w:color w:val="323439"/>
                <w:sz w:val="20"/>
                <w:szCs w:val="20"/>
              </w:rPr>
            </w:pPr>
            <w:r w:rsidDel="00000000" w:rsidR="00000000" w:rsidRPr="00000000">
              <w:rPr>
                <w:color w:val="323439"/>
                <w:sz w:val="20"/>
                <w:szCs w:val="20"/>
                <w:rtl w:val="0"/>
              </w:rPr>
              <w:t xml:space="preserve">- Would an informed and reasonable observer conclude that such a reason or incentive exists?</w:t>
            </w:r>
          </w:p>
          <w:p w:rsidR="00000000" w:rsidDel="00000000" w:rsidP="00000000" w:rsidRDefault="00000000" w:rsidRPr="00000000" w14:paraId="0000000C">
            <w:pPr>
              <w:pageBreakBefore w:val="0"/>
              <w:widowControl w:val="0"/>
              <w:spacing w:line="240" w:lineRule="auto"/>
              <w:ind w:left="566" w:right="581" w:firstLine="0"/>
              <w:rPr>
                <w:color w:val="323439"/>
                <w:sz w:val="20"/>
                <w:szCs w:val="20"/>
              </w:rPr>
            </w:pPr>
            <w:r w:rsidDel="00000000" w:rsidR="00000000" w:rsidRPr="00000000">
              <w:rPr>
                <w:rtl w:val="0"/>
              </w:rPr>
            </w:r>
          </w:p>
          <w:p w:rsidR="00000000" w:rsidDel="00000000" w:rsidP="00000000" w:rsidRDefault="00000000" w:rsidRPr="00000000" w14:paraId="0000000D">
            <w:pPr>
              <w:pageBreakBefore w:val="0"/>
              <w:widowControl w:val="0"/>
              <w:spacing w:line="240" w:lineRule="auto"/>
              <w:ind w:left="566" w:right="581" w:firstLine="0"/>
              <w:rPr>
                <w:color w:val="323439"/>
                <w:sz w:val="20"/>
                <w:szCs w:val="20"/>
              </w:rPr>
            </w:pPr>
            <w:r w:rsidDel="00000000" w:rsidR="00000000" w:rsidRPr="00000000">
              <w:rPr>
                <w:rFonts w:ascii="Nunito ExtraBold" w:cs="Nunito ExtraBold" w:eastAsia="Nunito ExtraBold" w:hAnsi="Nunito ExtraBold"/>
                <w:color w:val="d10074"/>
                <w:sz w:val="24"/>
                <w:szCs w:val="24"/>
                <w:rtl w:val="0"/>
              </w:rPr>
              <w:t xml:space="preserve">Form</w:t>
            </w:r>
            <w:r w:rsidDel="00000000" w:rsidR="00000000" w:rsidRPr="00000000">
              <w:rPr>
                <w:rtl w:val="0"/>
              </w:rPr>
            </w:r>
          </w:p>
          <w:p w:rsidR="00000000" w:rsidDel="00000000" w:rsidP="00000000" w:rsidRDefault="00000000" w:rsidRPr="00000000" w14:paraId="0000000E">
            <w:pPr>
              <w:pageBreakBefore w:val="0"/>
              <w:widowControl w:val="0"/>
              <w:spacing w:line="240" w:lineRule="auto"/>
              <w:ind w:left="566" w:right="581" w:firstLine="0"/>
              <w:rPr>
                <w:color w:val="323439"/>
                <w:sz w:val="20"/>
                <w:szCs w:val="20"/>
              </w:rPr>
            </w:pPr>
            <w:r w:rsidDel="00000000" w:rsidR="00000000" w:rsidRPr="00000000">
              <w:rPr>
                <w:rtl w:val="0"/>
              </w:rPr>
            </w:r>
          </w:p>
          <w:tbl>
            <w:tblPr>
              <w:tblStyle w:val="Table2"/>
              <w:tblW w:w="10080.0" w:type="dxa"/>
              <w:jc w:val="left"/>
              <w:tblInd w:w="5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5955"/>
              <w:tblGridChange w:id="0">
                <w:tblGrid>
                  <w:gridCol w:w="4125"/>
                  <w:gridCol w:w="5955"/>
                </w:tblGrid>
              </w:tblGridChange>
            </w:tblGrid>
            <w:tr>
              <w:trPr>
                <w:cantSplit w:val="0"/>
                <w:trHeight w:val="87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Name and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7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Description of potential conflict of interest/personal interest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66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Date notified/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Name and role of person responsible for managing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9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Could this conflict/ personal interest have an 'Adverse‘ Effect’ see definition below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61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Mitigation taken/to be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6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How will the mitigation be monitored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r>
              <w:trPr>
                <w:cantSplit w:val="0"/>
                <w:trHeight w:val="78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color w:val="323439"/>
                      <w:sz w:val="20"/>
                      <w:szCs w:val="20"/>
                      <w:rtl w:val="0"/>
                    </w:rPr>
                    <w:t xml:space="preserve">Date conflict/ personal interest ceased and 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439"/>
                      <w:sz w:val="20"/>
                      <w:szCs w:val="20"/>
                    </w:rPr>
                  </w:pPr>
                  <w:r w:rsidDel="00000000" w:rsidR="00000000" w:rsidRPr="00000000">
                    <w:rPr>
                      <w:rtl w:val="0"/>
                    </w:rPr>
                  </w:r>
                </w:p>
              </w:tc>
            </w:tr>
          </w:tbl>
          <w:p w:rsidR="00000000" w:rsidDel="00000000" w:rsidP="00000000" w:rsidRDefault="00000000" w:rsidRPr="00000000" w14:paraId="0000001F">
            <w:pPr>
              <w:pageBreakBefore w:val="0"/>
              <w:widowControl w:val="0"/>
              <w:spacing w:line="240" w:lineRule="auto"/>
              <w:ind w:left="566" w:right="581" w:firstLine="0"/>
              <w:rPr>
                <w:color w:val="323439"/>
                <w:sz w:val="20"/>
                <w:szCs w:val="20"/>
              </w:rPr>
            </w:pPr>
            <w:r w:rsidDel="00000000" w:rsidR="00000000" w:rsidRPr="00000000">
              <w:rPr>
                <w:rtl w:val="0"/>
              </w:rPr>
            </w:r>
          </w:p>
          <w:p w:rsidR="00000000" w:rsidDel="00000000" w:rsidP="00000000" w:rsidRDefault="00000000" w:rsidRPr="00000000" w14:paraId="00000020">
            <w:pPr>
              <w:widowControl w:val="0"/>
              <w:spacing w:line="240" w:lineRule="auto"/>
              <w:ind w:right="581"/>
              <w:rPr>
                <w:sz w:val="20"/>
                <w:szCs w:val="20"/>
              </w:rPr>
            </w:pPr>
            <w:r w:rsidDel="00000000" w:rsidR="00000000" w:rsidRPr="00000000">
              <w:rPr>
                <w:rtl w:val="0"/>
              </w:rPr>
            </w:r>
          </w:p>
          <w:p w:rsidR="00000000" w:rsidDel="00000000" w:rsidP="00000000" w:rsidRDefault="00000000" w:rsidRPr="00000000" w14:paraId="00000021">
            <w:pPr>
              <w:widowControl w:val="0"/>
              <w:spacing w:line="240" w:lineRule="auto"/>
              <w:ind w:right="581"/>
              <w:rPr>
                <w:sz w:val="20"/>
                <w:szCs w:val="20"/>
              </w:rPr>
            </w:pPr>
            <w:r w:rsidDel="00000000" w:rsidR="00000000" w:rsidRPr="00000000">
              <w:rPr>
                <w:rtl w:val="0"/>
              </w:rPr>
            </w:r>
          </w:p>
          <w:p w:rsidR="00000000" w:rsidDel="00000000" w:rsidP="00000000" w:rsidRDefault="00000000" w:rsidRPr="00000000" w14:paraId="00000022">
            <w:pPr>
              <w:widowControl w:val="0"/>
              <w:spacing w:line="240" w:lineRule="auto"/>
              <w:ind w:right="581"/>
              <w:rPr>
                <w:sz w:val="20"/>
                <w:szCs w:val="20"/>
              </w:rPr>
            </w:pPr>
            <w:r w:rsidDel="00000000" w:rsidR="00000000" w:rsidRPr="00000000">
              <w:rPr>
                <w:rtl w:val="0"/>
              </w:rPr>
            </w:r>
          </w:p>
          <w:p w:rsidR="00000000" w:rsidDel="00000000" w:rsidP="00000000" w:rsidRDefault="00000000" w:rsidRPr="00000000" w14:paraId="00000023">
            <w:pPr>
              <w:widowControl w:val="0"/>
              <w:spacing w:line="240" w:lineRule="auto"/>
              <w:ind w:right="581"/>
              <w:rPr>
                <w:sz w:val="20"/>
                <w:szCs w:val="20"/>
              </w:rPr>
            </w:pPr>
            <w:r w:rsidDel="00000000" w:rsidR="00000000" w:rsidRPr="00000000">
              <w:rPr>
                <w:rtl w:val="0"/>
              </w:rPr>
            </w:r>
          </w:p>
          <w:p w:rsidR="00000000" w:rsidDel="00000000" w:rsidP="00000000" w:rsidRDefault="00000000" w:rsidRPr="00000000" w14:paraId="00000024">
            <w:pPr>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25">
            <w:pPr>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26">
            <w:pPr>
              <w:widowControl w:val="0"/>
              <w:spacing w:line="240" w:lineRule="auto"/>
              <w:ind w:left="566" w:right="581" w:firstLine="0"/>
              <w:rPr>
                <w:rFonts w:ascii="Nunito ExtraBold" w:cs="Nunito ExtraBold" w:eastAsia="Nunito ExtraBold" w:hAnsi="Nunito ExtraBold"/>
                <w:color w:val="d10074"/>
                <w:sz w:val="24"/>
                <w:szCs w:val="24"/>
              </w:rPr>
            </w:pPr>
            <w:r w:rsidDel="00000000" w:rsidR="00000000" w:rsidRPr="00000000">
              <w:rPr>
                <w:rFonts w:ascii="Nunito ExtraBold" w:cs="Nunito ExtraBold" w:eastAsia="Nunito ExtraBold" w:hAnsi="Nunito ExtraBold"/>
                <w:color w:val="d10074"/>
                <w:sz w:val="24"/>
                <w:szCs w:val="24"/>
                <w:rtl w:val="0"/>
              </w:rPr>
              <w:t xml:space="preserve">Definition</w:t>
            </w:r>
          </w:p>
          <w:p w:rsidR="00000000" w:rsidDel="00000000" w:rsidP="00000000" w:rsidRDefault="00000000" w:rsidRPr="00000000" w14:paraId="00000027">
            <w:pPr>
              <w:widowControl w:val="0"/>
              <w:spacing w:line="240" w:lineRule="auto"/>
              <w:ind w:left="566" w:right="581" w:firstLine="0"/>
              <w:rPr>
                <w:rFonts w:ascii="Nunito ExtraBold" w:cs="Nunito ExtraBold" w:eastAsia="Nunito ExtraBold" w:hAnsi="Nunito ExtraBold"/>
                <w:color w:val="d10074"/>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566" w:right="581" w:firstLine="0"/>
              <w:rPr>
                <w:sz w:val="20"/>
                <w:szCs w:val="20"/>
              </w:rPr>
            </w:pPr>
            <w:r w:rsidDel="00000000" w:rsidR="00000000" w:rsidRPr="00000000">
              <w:rPr>
                <w:sz w:val="20"/>
                <w:szCs w:val="20"/>
                <w:rtl w:val="0"/>
              </w:rPr>
              <w:t xml:space="preserve">An ‘Adverse Effect’ is defined by Ofqual as:</w:t>
            </w:r>
          </w:p>
          <w:p w:rsidR="00000000" w:rsidDel="00000000" w:rsidP="00000000" w:rsidRDefault="00000000" w:rsidRPr="00000000" w14:paraId="00000029">
            <w:pPr>
              <w:widowControl w:val="0"/>
              <w:spacing w:line="240" w:lineRule="auto"/>
              <w:ind w:left="566" w:right="581" w:firstLine="0"/>
              <w:rPr>
                <w:sz w:val="20"/>
                <w:szCs w:val="20"/>
              </w:rPr>
            </w:pPr>
            <w:r w:rsidDel="00000000" w:rsidR="00000000" w:rsidRPr="00000000">
              <w:rPr>
                <w:sz w:val="20"/>
                <w:szCs w:val="20"/>
                <w:rtl w:val="0"/>
              </w:rPr>
              <w:t xml:space="preserve">“An act, omission, event, incident, or circumstance has an Adverse Effect if it –</w:t>
            </w:r>
          </w:p>
          <w:p w:rsidR="00000000" w:rsidDel="00000000" w:rsidP="00000000" w:rsidRDefault="00000000" w:rsidRPr="00000000" w14:paraId="0000002A">
            <w:pPr>
              <w:widowControl w:val="0"/>
              <w:spacing w:line="240" w:lineRule="auto"/>
              <w:ind w:left="566" w:right="581" w:firstLine="0"/>
              <w:rPr>
                <w:sz w:val="20"/>
                <w:szCs w:val="20"/>
              </w:rPr>
            </w:pPr>
            <w:r w:rsidDel="00000000" w:rsidR="00000000" w:rsidRPr="00000000">
              <w:rPr>
                <w:sz w:val="20"/>
                <w:szCs w:val="20"/>
                <w:rtl w:val="0"/>
              </w:rPr>
              <w:t xml:space="preserve">(a) gives rise to prejudice to Learners or potential Learners, or</w:t>
            </w:r>
          </w:p>
          <w:p w:rsidR="00000000" w:rsidDel="00000000" w:rsidP="00000000" w:rsidRDefault="00000000" w:rsidRPr="00000000" w14:paraId="0000002B">
            <w:pPr>
              <w:widowControl w:val="0"/>
              <w:spacing w:line="240" w:lineRule="auto"/>
              <w:ind w:left="566" w:right="581" w:firstLine="0"/>
              <w:rPr>
                <w:sz w:val="20"/>
                <w:szCs w:val="20"/>
              </w:rPr>
            </w:pPr>
            <w:r w:rsidDel="00000000" w:rsidR="00000000" w:rsidRPr="00000000">
              <w:rPr>
                <w:sz w:val="20"/>
                <w:szCs w:val="20"/>
                <w:rtl w:val="0"/>
              </w:rPr>
              <w:t xml:space="preserve">(b) adversely affects –</w:t>
            </w:r>
          </w:p>
          <w:p w:rsidR="00000000" w:rsidDel="00000000" w:rsidP="00000000" w:rsidRDefault="00000000" w:rsidRPr="00000000" w14:paraId="0000002C">
            <w:pPr>
              <w:widowControl w:val="0"/>
              <w:spacing w:line="240" w:lineRule="auto"/>
              <w:ind w:left="566" w:right="581" w:firstLine="0"/>
              <w:rPr>
                <w:sz w:val="20"/>
                <w:szCs w:val="20"/>
              </w:rPr>
            </w:pPr>
            <w:r w:rsidDel="00000000" w:rsidR="00000000" w:rsidRPr="00000000">
              <w:rPr>
                <w:sz w:val="20"/>
                <w:szCs w:val="20"/>
                <w:rtl w:val="0"/>
              </w:rPr>
              <w:t xml:space="preserve">(i) the ability of the awarding organisation to undertake the development, delivery or award of qualifications in accordance with its Conditions of Recognition,</w:t>
            </w:r>
          </w:p>
          <w:p w:rsidR="00000000" w:rsidDel="00000000" w:rsidP="00000000" w:rsidRDefault="00000000" w:rsidRPr="00000000" w14:paraId="0000002D">
            <w:pPr>
              <w:widowControl w:val="0"/>
              <w:spacing w:line="240" w:lineRule="auto"/>
              <w:ind w:left="566" w:right="581" w:firstLine="0"/>
              <w:rPr>
                <w:sz w:val="20"/>
                <w:szCs w:val="20"/>
              </w:rPr>
            </w:pPr>
            <w:r w:rsidDel="00000000" w:rsidR="00000000" w:rsidRPr="00000000">
              <w:rPr>
                <w:sz w:val="20"/>
                <w:szCs w:val="20"/>
                <w:rtl w:val="0"/>
              </w:rPr>
              <w:t xml:space="preserve">(ii) the standards of qualifications which the awarding organisation makes available or proposes to make available, or</w:t>
            </w:r>
          </w:p>
          <w:p w:rsidR="00000000" w:rsidDel="00000000" w:rsidP="00000000" w:rsidRDefault="00000000" w:rsidRPr="00000000" w14:paraId="0000002E">
            <w:pPr>
              <w:widowControl w:val="0"/>
              <w:spacing w:line="240" w:lineRule="auto"/>
              <w:ind w:left="566" w:right="581" w:firstLine="0"/>
              <w:rPr>
                <w:sz w:val="20"/>
                <w:szCs w:val="20"/>
              </w:rPr>
            </w:pPr>
            <w:r w:rsidDel="00000000" w:rsidR="00000000" w:rsidRPr="00000000">
              <w:rPr>
                <w:sz w:val="20"/>
                <w:szCs w:val="20"/>
                <w:rtl w:val="0"/>
              </w:rPr>
              <w:t xml:space="preserve">(iii) public confidence in qualifications.”</w:t>
            </w:r>
          </w:p>
          <w:p w:rsidR="00000000" w:rsidDel="00000000" w:rsidP="00000000" w:rsidRDefault="00000000" w:rsidRPr="00000000" w14:paraId="0000002F">
            <w:pPr>
              <w:widowControl w:val="0"/>
              <w:spacing w:line="240" w:lineRule="auto"/>
              <w:ind w:left="566" w:right="581" w:firstLine="0"/>
              <w:rPr>
                <w:sz w:val="20"/>
                <w:szCs w:val="20"/>
              </w:rPr>
            </w:pPr>
            <w:r w:rsidDel="00000000" w:rsidR="00000000" w:rsidRPr="00000000">
              <w:rPr>
                <w:sz w:val="20"/>
                <w:szCs w:val="20"/>
                <w:rtl w:val="0"/>
              </w:rPr>
              <w:t xml:space="preserve">For examples of personal interest given by Ofqual see: https://www.gov.uk/guidance/ofqual-handbook/section-a-governance</w:t>
            </w:r>
          </w:p>
          <w:p w:rsidR="00000000" w:rsidDel="00000000" w:rsidP="00000000" w:rsidRDefault="00000000" w:rsidRPr="00000000" w14:paraId="00000030">
            <w:pPr>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31">
            <w:pPr>
              <w:pageBreakBefore w:val="0"/>
              <w:widowControl w:val="0"/>
              <w:spacing w:line="240" w:lineRule="auto"/>
              <w:ind w:left="0" w:right="581" w:firstLine="0"/>
              <w:rPr>
                <w:color w:val="323439"/>
                <w:sz w:val="20"/>
                <w:szCs w:val="20"/>
              </w:rPr>
            </w:pPr>
            <w:r w:rsidDel="00000000" w:rsidR="00000000" w:rsidRPr="00000000">
              <w:rPr>
                <w:rtl w:val="0"/>
              </w:rPr>
            </w:r>
          </w:p>
        </w:tc>
      </w:tr>
    </w:tbl>
    <w:p w:rsidR="00000000" w:rsidDel="00000000" w:rsidP="00000000" w:rsidRDefault="00000000" w:rsidRPr="00000000" w14:paraId="00000032">
      <w:pPr>
        <w:widowControl w:val="0"/>
        <w:spacing w:line="240" w:lineRule="auto"/>
        <w:ind w:left="0" w:right="581" w:firstLine="0"/>
        <w:rPr>
          <w:sz w:val="20"/>
          <w:szCs w:val="20"/>
        </w:rPr>
      </w:pPr>
      <w:r w:rsidDel="00000000" w:rsidR="00000000" w:rsidRPr="00000000">
        <w:rPr>
          <w:rtl w:val="0"/>
        </w:rPr>
      </w:r>
    </w:p>
    <w:p w:rsidR="00000000" w:rsidDel="00000000" w:rsidP="00000000" w:rsidRDefault="00000000" w:rsidRPr="00000000" w14:paraId="00000033">
      <w:pPr>
        <w:pageBreakBefore w:val="0"/>
        <w:widowControl w:val="0"/>
        <w:spacing w:line="240" w:lineRule="auto"/>
        <w:ind w:right="581"/>
        <w:rPr>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0" w:top="0" w:left="0" w:right="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ExtraBol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ageBreakBefore w:val="0"/>
      <w:jc w:val="center"/>
      <w:rPr>
        <w:sz w:val="12"/>
        <w:szCs w:val="12"/>
      </w:rPr>
    </w:pPr>
    <w:r w:rsidDel="00000000" w:rsidR="00000000" w:rsidRPr="00000000">
      <w:rPr>
        <w:rtl w:val="0"/>
      </w:rPr>
    </w:r>
  </w:p>
  <w:tbl>
    <w:tblPr>
      <w:tblStyle w:val="Table3"/>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B">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jc w:val="center"/>
            <w:rPr>
              <w:color w:val="323439"/>
            </w:rPr>
          </w:pPr>
          <w:r w:rsidDel="00000000" w:rsidR="00000000" w:rsidRPr="00000000">
            <w:rPr>
              <w:color w:val="323439"/>
              <w:rtl w:val="0"/>
            </w:rPr>
            <w:t xml:space="preserve">Conflict of Interest Policy and Procedure 2021 │ V08.0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D">
          <w:pPr>
            <w:pageBreakBefore w:val="0"/>
            <w:widowControl w:val="0"/>
            <w:spacing w:line="240" w:lineRule="auto"/>
            <w:jc w:val="right"/>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right"/>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040">
    <w:pPr>
      <w:pageBreakBefore w:val="0"/>
      <w:widowControl w:val="0"/>
      <w:spacing w:line="240" w:lineRule="auto"/>
      <w:jc w:val="center"/>
      <w:rPr>
        <w:color w:val="323439"/>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jc w:val="center"/>
      <w:rPr>
        <w:sz w:val="12"/>
        <w:szCs w:val="12"/>
      </w:rPr>
    </w:pPr>
    <w:r w:rsidDel="00000000" w:rsidR="00000000" w:rsidRPr="00000000">
      <w:rPr>
        <w:rtl w:val="0"/>
      </w:rPr>
    </w:r>
  </w:p>
  <w:tbl>
    <w:tblPr>
      <w:tblStyle w:val="Table4"/>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2">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pacing w:line="240" w:lineRule="auto"/>
            <w:jc w:val="center"/>
            <w:rPr>
              <w:color w:val="323439"/>
            </w:rPr>
          </w:pPr>
          <w:r w:rsidDel="00000000" w:rsidR="00000000" w:rsidRPr="00000000">
            <w:rPr>
              <w:color w:val="323439"/>
              <w:rtl w:val="0"/>
            </w:rPr>
            <w:t xml:space="preserve">Conflict of Interest Policy and Procedure │ V08.0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048">
    <w:pPr>
      <w:pageBreakBefore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ind w:right="1148"/>
      <w:jc w:val="right"/>
      <w:rPr/>
    </w:pPr>
    <w:r w:rsidDel="00000000" w:rsidR="00000000" w:rsidRPr="00000000">
      <w:rPr>
        <w:rtl w:val="0"/>
      </w:rPr>
    </w:r>
  </w:p>
  <w:p w:rsidR="00000000" w:rsidDel="00000000" w:rsidP="00000000" w:rsidRDefault="00000000" w:rsidRPr="00000000" w14:paraId="00000037">
    <w:pPr>
      <w:pageBreakBefore w:val="0"/>
      <w:ind w:right="1148"/>
      <w:jc w:val="right"/>
      <w:rPr/>
    </w:pPr>
    <w:r w:rsidDel="00000000" w:rsidR="00000000" w:rsidRPr="00000000">
      <w:rPr>
        <w:rtl w:val="0"/>
      </w:rPr>
    </w:r>
  </w:p>
  <w:p w:rsidR="00000000" w:rsidDel="00000000" w:rsidP="00000000" w:rsidRDefault="00000000" w:rsidRPr="00000000" w14:paraId="00000038">
    <w:pPr>
      <w:pageBreakBefore w:val="0"/>
      <w:ind w:right="1148"/>
      <w:rPr/>
    </w:pPr>
    <w:bookmarkStart w:colFirst="0" w:colLast="0" w:name="_gjdgxs" w:id="0"/>
    <w:bookmarkEnd w:id="0"/>
    <w:r w:rsidDel="00000000" w:rsidR="00000000" w:rsidRPr="00000000">
      <w:rPr/>
      <mc:AlternateContent>
        <mc:Choice Requires="wpg">
          <w:drawing>
            <wp:inline distB="114300" distT="114300" distL="114300" distR="114300">
              <wp:extent cx="5502434" cy="1214330"/>
              <wp:effectExtent b="0" l="0" r="0" t="0"/>
              <wp:docPr id="1" name=""/>
              <a:graphic>
                <a:graphicData uri="http://schemas.microsoft.com/office/word/2010/wordprocessingGroup">
                  <wpg:wgp>
                    <wpg:cNvGrpSpPr/>
                    <wpg:grpSpPr>
                      <a:xfrm>
                        <a:off x="2594783" y="3180090"/>
                        <a:ext cx="5502434" cy="1214330"/>
                        <a:chOff x="2594783" y="3180090"/>
                        <a:chExt cx="5502434" cy="1199821"/>
                      </a:xfrm>
                    </wpg:grpSpPr>
                    <wpg:grpSp>
                      <wpg:cNvGrpSpPr/>
                      <wpg:grpSpPr>
                        <a:xfrm>
                          <a:off x="2594783" y="3180090"/>
                          <a:ext cx="5502434" cy="1199821"/>
                          <a:chOff x="1467151" y="2322175"/>
                          <a:chExt cx="9368037" cy="2027400"/>
                        </a:xfrm>
                      </wpg:grpSpPr>
                      <wps:wsp>
                        <wps:cNvSpPr/>
                        <wps:cNvPr id="3" name="Shape 3"/>
                        <wps:spPr>
                          <a:xfrm>
                            <a:off x="1467151" y="2322175"/>
                            <a:ext cx="9368025" cy="20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8807788" y="2322175"/>
                            <a:ext cx="2027400" cy="20274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467151" y="2322175"/>
                            <a:ext cx="8396700" cy="2027400"/>
                          </a:xfrm>
                          <a:prstGeom prst="rect">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471075" y="2331875"/>
                            <a:ext cx="7183800" cy="193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30"/>
                                  <w:vertAlign w:val="baseline"/>
                                </w:rPr>
                                <w:t xml:space="preserve">Conflict of Interest Policy and Procedure  FORM Template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ffffff"/>
                                  <w:sz w:val="28"/>
                                  <w:vertAlign w:val="baseline"/>
                                </w:rPr>
                                <w:t xml:space="preserve">AB/POL/0001</w:t>
                              </w:r>
                              <w:r w:rsidDel="00000000" w:rsidR="00000000" w:rsidRPr="00000000">
                                <w:rPr>
                                  <w:rFonts w:ascii="Arial" w:cs="Arial" w:eastAsia="Arial" w:hAnsi="Arial"/>
                                  <w:b w:val="0"/>
                                  <w:i w:val="0"/>
                                  <w:smallCaps w:val="0"/>
                                  <w:strike w:val="0"/>
                                  <w:color w:val="ffffff"/>
                                  <w:sz w:val="28"/>
                                  <w:vertAlign w:val="baseline"/>
                                </w:rPr>
                                <w:t xml:space="preserve">  •  </w:t>
                              </w:r>
                              <w:r w:rsidDel="00000000" w:rsidR="00000000" w:rsidRPr="00000000">
                                <w:rPr>
                                  <w:rFonts w:ascii="Arial" w:cs="Arial" w:eastAsia="Arial" w:hAnsi="Arial"/>
                                  <w:b w:val="0"/>
                                  <w:i w:val="0"/>
                                  <w:smallCaps w:val="0"/>
                                  <w:strike w:val="0"/>
                                  <w:color w:val="ffffff"/>
                                  <w:sz w:val="28"/>
                                  <w:vertAlign w:val="baseline"/>
                                </w:rPr>
                                <w:t xml:space="preserve">Sept 2021</w:t>
                              </w:r>
                              <w:r w:rsidDel="00000000" w:rsidR="00000000" w:rsidRPr="00000000">
                                <w:rPr>
                                  <w:rFonts w:ascii="Arial" w:cs="Arial" w:eastAsia="Arial" w:hAnsi="Arial"/>
                                  <w:b w:val="0"/>
                                  <w:i w:val="0"/>
                                  <w:smallCaps w:val="0"/>
                                  <w:strike w:val="0"/>
                                  <w:color w:val="ffffff"/>
                                  <w:sz w:val="28"/>
                                  <w:vertAlign w:val="baseline"/>
                                </w:rPr>
                                <w:t xml:space="preserve"> •  V</w:t>
                              </w:r>
                              <w:r w:rsidDel="00000000" w:rsidR="00000000" w:rsidRPr="00000000">
                                <w:rPr>
                                  <w:rFonts w:ascii="Arial" w:cs="Arial" w:eastAsia="Arial" w:hAnsi="Arial"/>
                                  <w:b w:val="0"/>
                                  <w:i w:val="0"/>
                                  <w:smallCaps w:val="0"/>
                                  <w:strike w:val="0"/>
                                  <w:color w:val="ffffff"/>
                                  <w:sz w:val="28"/>
                                  <w:vertAlign w:val="baseline"/>
                                </w:rPr>
                                <w:t xml:space="preserve">08</w:t>
                              </w:r>
                              <w:r w:rsidDel="00000000" w:rsidR="00000000" w:rsidRPr="00000000">
                                <w:rPr>
                                  <w:rFonts w:ascii="Arial" w:cs="Arial" w:eastAsia="Arial" w:hAnsi="Arial"/>
                                  <w:b w:val="0"/>
                                  <w:i w:val="0"/>
                                  <w:smallCaps w:val="0"/>
                                  <w:strike w:val="0"/>
                                  <w:color w:val="ffffff"/>
                                  <w:sz w:val="28"/>
                                  <w:vertAlign w:val="baseline"/>
                                </w:rPr>
                                <w:t xml:space="preserve">.0</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5502434" cy="1214330"/>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502434" cy="121433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5943600</wp:posOffset>
          </wp:positionH>
          <wp:positionV relativeFrom="paragraph">
            <wp:posOffset>266700</wp:posOffset>
          </wp:positionV>
          <wp:extent cx="1166491" cy="595313"/>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66491" cy="595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unitoExtraBold-bold.ttf"/><Relationship Id="rId2" Type="http://schemas.openxmlformats.org/officeDocument/2006/relationships/font" Target="fonts/NunitoExtraBold-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